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240" w:lineRule="auto"/>
        <w:rPr/>
      </w:pPr>
      <w:r w:rsidDel="00000000" w:rsidR="00000000" w:rsidRPr="00000000">
        <w:rPr>
          <w:b w:val="1"/>
          <w:rtl w:val="0"/>
        </w:rPr>
        <w:t xml:space="preserve">Jak rozpoznać i zapobiegać zagrożeniu samobójstwem u dzieci i młodzieży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Artykuł dla rodziców – 15.10.2025 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Ewa Targońska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Niepokojące dane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Samobójstwo to – zaraz po wypadkach – najczęstsza przyczyna śmierci wśród dzieci i nastolatków. Już w latach 80. XX wieku w Stanach Zjednoczonych odnotowano alarmujący,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200-procentowy wzrost liczby samobójstw wśród młodzieży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przy jednoczesnym wzroście o 17% w całej populacji. Badania Centers for Disease Control (1991) wskazują, że: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8% uczniów szkół średnich próbowało popełnić samobójstwo,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16% planowało taki krok,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aż 27% poważnie o nim myślało.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Polsce w 2017 roku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469 osób w wieku do 24 lat odebrało sobie życie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ogółem w tym samym roku samobójstwo popełniło 5276 osób. Szacuje się, że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 samobójstwo przypada nawet 100 prób samobójczych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Statystyki są wyższe niż średnia unijna – w Polsce na 100 tys. mieszkańców przypada 15,5 zgonów w wyniku samobójstwa, przy 11 w Unii Europejskiej.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Warto jednak pamiętać, że dane te nie obejmują przypadków celowo spowodowanych wypadków komunikacyjnych, zgonów po nieudanych próbach samobójczych ani sytuacji, gdy rodzina zataja prawdziwą przyczynę śmierci.</w:t>
      </w:r>
    </w:p>
    <w:p w:rsidR="00000000" w:rsidDel="00000000" w:rsidP="00000000" w:rsidRDefault="00000000" w:rsidRPr="00000000" w14:paraId="0000000A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Co chroni młodzież przed samobójstwem?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Badania (Gould i in., 1996; Lazear, Roggenbaum, Blase, 2003; SAMHSA, 2012) wskazują wiele czynników chroniących młodych ludzi przed zachowaniami autodestrukcyjnymi. Należą do nich m.in.: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silna i spójna rodzina, okazująca zainteresowanie i wsparcie,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umiejętność radzenia sobie z trudnościami,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dobre wyniki w nauce i poczucie więzi ze szkołą,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pozytywne relacje z rówieśnikami,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ograniczony dostęp do środków umożliwiających odebranie sobie życia (np. leków, trucizn, broni),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zdolność do szukania pomocy,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umiejętność kontrolowania impulsów i rozwiązywania konfliktów,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poczucie sensu życia i stabilne środowisko,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dostęp do pomocy psychologicznej,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poczucie odpowiedzialności za innych (np. zwierzęta, kolegów),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także religijność.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Wiele z tych czynników można rozwijać zarówno w domu, jak i w szkole – poprzez wspólne działania, integrację, rozmowę i wsparcie emocjonalne.</w:t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Czynniki zwiększające ryzyko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kolei badacze Greenberg, Velting i Shaffer (2003) wskazują czynniki, które mogą zwiększać ryzyko prób samobójczych wśród uczniów: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nadmierne wymagania edukacyjne bez wsparcia emocjonalnego,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negatywny klimat społeczny w szkole, brak relacji i empatii,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przemoc rówieśnicza i brak reakcji ze strony dorosłych,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chaos lub nadmierna dyscyplina,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zajęć rozwijających pasje,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dostępu do pomocy psychologiczno-pedagogicznej.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Kiedy trudności emocjonalne utrzymują się przez dłuższy czas, a dziecko nie otrzymuje wsparcia, może dojść do stanu przeciążenia emocjonalnego i depresji. Wówczas pojawiają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myśli rezygnacyjne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które mogą przekształcić się w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zamiary samobójcze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ostatecznie – w próbę odebrania sobie życia.</w:t>
      </w:r>
    </w:p>
    <w:p w:rsidR="00000000" w:rsidDel="00000000" w:rsidP="00000000" w:rsidRDefault="00000000" w:rsidRPr="00000000" w14:paraId="00000021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Sygnały ostrzegawcze – na co zwrócić uwagę?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Zachowanie dziecka często sygnalizuje, że dzieje się coś złego. Wczesne objawy ostrzegawcze to m.in.: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wycofanie się z kontaktów z rodziną i przyjaciółmi,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zainteresowanie tematyką śmierci,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nastroju, osobowości, problemy z koncentracją,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spadek wyników w nauce,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zmiany w apetycie i śnie,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utrata zainteresowań i energii,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częste bóle somatyczne (np. głowy, brzucha),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zaniedbywanie wyglądu.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Sygnały wysokiego zagrożenia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rozmowy o śmierci lub planowaniu samobójstwa,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impulsywne, ryzykowne zachowania,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nadużywanie alkoholu lub narkotyków,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odrzucanie pomocy, poczucie beznadziei,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wypowiedzi typu: „Nie warto żyć”, „Już się nie zobaczymy”,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rozdawanie swoich rzeczy, nagłe uspokojenie po długim okresie smutku.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Aż 80% osób, które planują samobójstwo,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daje wcześniej sygnały otoczeniu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poprzez słowa, gesty czy zachowanie. Dlatego tak ważna jest czujność rodziców i nauczycieli.</w:t>
      </w:r>
    </w:p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Jak reagować, gdy podejrzewasz zagrożenie?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Według Fujimiry, Weisa i Cochrana (1985) każdy dorosły – rodzic, nauczyciel czy opiekun – może uratować życie dziecka, jeśli zareaguje właściwie. Oto kluczowe zasady: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Ufaj swoim przeczuciom.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Jeśli coś Cię niepokoi – reaguj.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Rozmawiaj otwarcie.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Powiedz dziecku, że się martwisz, wysłuchaj go bez oceniania.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Zadawaj pytania wprost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nawet o samobójstwo – to nie zachęca, lecz może uratować.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obiecuj zachowania tajemnicy.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sytuacji zagrożenia życie jest ważniejsze od dyskrecji.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zostawiaj dziecka samego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jeśli istnieje realne ryzyko.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Szukaj pomocy specjalistów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psychologa, pedagoga, psychiatry.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Ogranicz dostęp do niebezpiecznych środków.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bezpośredniego zagrożenia zadzwoń pod numer 112.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Warto też korzystać z dostępnych telefonów zaufania i miejsc wsparcia: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Wsparcia – 800 70 22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Zaufania dla Dzieci i Młodzieży – 116 111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707" w:right="0" w:hanging="28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dla rodziców i nauczycieli – 800 100 100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Dodatkowe informacje i bezpłatne konsultacje można znaleźć na stronie www.zwjr.pl.</w:t>
      </w:r>
    </w:p>
    <w:p w:rsidR="00000000" w:rsidDel="00000000" w:rsidP="00000000" w:rsidRDefault="00000000" w:rsidRPr="00000000" w14:paraId="00000042">
      <w:pPr>
        <w:pStyle w:val="Heading3"/>
        <w:rPr/>
      </w:pPr>
      <w:r w:rsidDel="00000000" w:rsidR="00000000" w:rsidRPr="00000000">
        <w:rPr>
          <w:b w:val="1"/>
          <w:rtl w:val="0"/>
        </w:rPr>
        <w:t xml:space="preserve">Nie jesteś sam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Każdy kryzys jest przejściowy,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pomoc jest zawsze dostępna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Dzieci i młodzież potrzebują przede wszystkim uwagi, zrozumienia i obecności dorosłych. Rozmowa, empatia i szybka reakcja mogą uratować życie.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Źródła: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Agnieszka Idźkowska-Guz,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Interwencja kryzysowa. Zagrożenie samobójstwem u dzieci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Psychologia.net.pl</w:t>
        <w:br w:type="textWrapping"/>
        <w:t xml:space="preserve">Magdalena Galek,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Jak pomóc dziecku, które myśli o samobójstwie?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Aleteia.org</w:t>
        <w:br w:type="textWrapping"/>
        <w:t xml:space="preserve">Joanna Szymańska,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Zapobieganie samobójstwom dzieci i młodzieży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ORE.edu.pl</w:t>
      </w:r>
    </w:p>
    <w:sectPr>
      <w:pgSz w:h="16837" w:w="11905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24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